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165</w:t>
      </w:r>
    </w:p>
    <w:p>
      <w:r>
        <w:t>Bundesgericht (BGE), 1994-12-12, IT</w:t>
      </w:r>
    </w:p>
    <w:p>
      <w:r>
        <w:rPr>
          <w:b/>
        </w:rPr>
        <w:t xml:space="preserve">Quelle: </w:t>
      </w:r>
      <w:r>
        <w:t>https://mcp.opencaselaw.ch/entscheid/bge_120 III 165</w:t>
      </w:r>
    </w:p>
    <w:p>
      <w:r>
        <w:t>FR: ATF 120 III 165</w:t>
      </w:r>
    </w:p>
    <w:p>
      <w:r>
        <w:t>IT: DTF 120 III 165</w:t>
      </w:r>
    </w:p>
    <w:p>
      <w:pPr>
        <w:pStyle w:val="Heading2"/>
      </w:pPr>
      <w:r>
        <w:t>Regeste</w:t>
      </w:r>
    </w:p>
    <w:p>
      <w:r>
        <w:t>Regeste Gebrauch der Formulare. Das Obligatorium der Verwendung amtlicher Formulare durch das Betreibungsamt ist blosse Ordnungsvorschrift (Bestätigung von BGE 87 III 68 E. 1). Eine auf amtlichem Papier erstellte Verteilungsliste, die sämtliche wesentlichen Elemente enthält, wie sie im entsprechenden Formular vorgesehen sind, ist daher rechtsgültig.</w:t>
      </w:r>
    </w:p>
    <w:p>
      <w:pPr>
        <w:pStyle w:val="Heading2"/>
      </w:pPr>
      <w:r>
        <w:t>Volltext</w:t>
      </w:r>
    </w:p>
    <w:p>
      <w:r>
        <w:t>Urteilskopf 120 III 165 56. Estratto della sentenza 12 dicembre 1994 della Camera delle esecuzioni e dei fallimenti nella causa Banca S contro "X" Compagnia di assicurazioni sulla vita (ricorso) Regeste Gebrauch der Formulare. Das Obligatorium der Verwendung amtlicher Formulare durch das Betreibungsamt ist blosse Ordnungsvorschrift (Bestätigung von BGE 87 III 68 E. 1). Eine auf amtlichem Papier erstellte Verteilungsliste, die sämtliche wesentlichen Elemente enthält, wie sie im entsprechenden Formular vorgesehen sind, ist daher rechtsgültig. Sachverhalt ab Seite 165 BGE 120 III 165 S. 165 Nell'ambito di una procedura in via di realizzazione del pegno immobiliare, il 15 marzo 1994 la particella n. xxx RFD del Comune di Sementina è stata aggiudicata alla Banca S per l'importo di fr. ... . L'Ufficio di esecuzione ha steso lo stato di riparto della realizzazione su carta ufficiale e lo ha comunicato a tutti gli interessati il 19 maggio 1994. Contro lo stato di riparto la S è insorta con reclamo alla Camera di esecuzione e fallimenti del Tribunale di appello del Cantone Ticino, autorità di vigilanza. BGE 120 III 165 S. 166 Insorta alla Camera delle esecuzioni e dei fallimenti del Tribunale federale, la S chiede che la sentenza impugnata sia annullata e che sia allestito un nuovo stato di riparto. Il Tribunale federale ha respinto il ricorso. Erwägungen Dai considerandi: 2. La ricorrente adduce che lo stato di riparto allestito dall'UEF di Bellinzona non contiene - come prevede il formulario ufficiale - la finca del riparto dei redditi incassati tra i diversi creditori, dimodoché non sarebbe possibile dedurre secondo quali criteri siano stati distribuiti i frutti dell'immobile e quale sia il conto spese dell'UEF. La censura è manifestamente infondata. Come rileva a ragione la Corte cantonale l'obbligo di servirsi dei moduli ufficiali è, per l'ufficio d'esecuzione, soltanto una prescrizione d'ordine ( DTF 87 III 68 consid. 1; FRITZSCHE/WALDER, Schuldbetreibung und Konkurs nach schweizerischem Recht, Vol. I, n. 4 pag. 165; v. inoltre in merito al mancato uso del formulario previsto dall' art. 2 n. 6 RUF RS 281.32, per la cessione di pretese della massa DTF 43 III 163 ). Una decisione (o un provvedimento) comunicata regolarmente, redatta in modo univoco e contenente tutti gli elementi essenziali per il destinatario, produce quindi i suoi effetti anche se non si attiene al testo del modulo. In concreto, lo stato di riparto allestito su carta da lettera ufficiale contiene tutti gli elementi essenziali previsti dal modulo (v. art. 26 delle istruzioni del TF relative agli atti da allestire nella realizzazione forzata di fondi) e in particolare la chiave di ripartizione. Per quanto concerne il dettaglio delle spese basta rilevare che lo stesso è stato depositato presso l'UEF ove la ricorrente avrebbe potuto visionarlo (su richiesta l'UEF ha comunque trasmesso al patrocinatore della ricorrente il dettaglio del conto spese il 6 giugno 1994), non essendo materialmente possibile riportare tutte le spese sostenute dall'Ufficio (v. art. 20 combinato con l' art. 112 cpv. 2 RFF ; RS 281.42).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